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22 278 vom 24. November 2025</w:t>
      </w:r>
    </w:p>
    <w:p>
      <w:r>
        <w:t>VS Kantonsgericht, 2025-11-24, FR</w:t>
      </w:r>
    </w:p>
    <w:p>
      <w:r>
        <w:rPr>
          <w:b/>
        </w:rPr>
        <w:t xml:space="preserve">Quelle: </w:t>
      </w:r>
      <w:r>
        <w:t>https://mcp.opencaselaw.ch/entscheid/vs_gerichte_C1 22 278</w:t>
      </w:r>
    </w:p>
    <w:p>
      <w:r>
        <w:t>FR: VS_GERICHTE C1 22 278 du 24 novembre 2025</w:t>
      </w:r>
    </w:p>
    <w:p>
      <w:r>
        <w:t>IT: VS_GERICHTE C1 22 278 del 24 novembre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judiciaires, par 2000 fr., sont mis à la charge de Y _________ SA et de X _________ par moitié chacun.</w:t>
      </w:r>
    </w:p>
    <w:p>
      <w:r>
        <w:rPr>
          <w:b/>
        </w:rPr>
        <w:t>E. 4</w:t>
      </w:r>
    </w:p>
    <w:p>
      <w:r>
        <w:t>Chaque partie conserve ses dépens. Sion, le 24 novembre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